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544" w:rsidRDefault="006C2544" w14:paraId="4062243D" w14:textId="77777777">
      <w:pPr>
        <w:rPr>
          <w:rFonts w:ascii="Calibri" w:hAnsi="Calibri" w:eastAsia="Calibri" w:cs="Calibri"/>
        </w:rPr>
      </w:pPr>
    </w:p>
    <w:p w:rsidR="006C2544" w:rsidRDefault="006C2544" w14:paraId="2827FFBE" w14:textId="7EE36F75">
      <w:pPr>
        <w:rPr>
          <w:rFonts w:ascii="Calibri" w:hAnsi="Calibri" w:eastAsia="Calibri" w:cs="Calibri"/>
          <w:b/>
        </w:rPr>
      </w:pPr>
      <w:r>
        <w:rPr>
          <w:rFonts w:ascii="Calibri" w:hAnsi="Calibri" w:eastAsia="Calibri" w:cs="Calibri"/>
          <w:b/>
        </w:rPr>
        <w:t>PROGRAM DELIVERY</w:t>
      </w:r>
    </w:p>
    <w:p w:rsidR="006C2544" w:rsidRDefault="006C2544" w14:paraId="476B4279" w14:textId="78E1FC29">
      <w:pPr>
        <w:rPr>
          <w:rFonts w:ascii="Calibri" w:hAnsi="Calibri" w:eastAsia="Calibri" w:cs="Calibri"/>
          <w:b/>
        </w:rPr>
      </w:pPr>
    </w:p>
    <w:p w:rsidRPr="00EC582E" w:rsidR="001B5EDB" w:rsidP="5E0B3DA5" w:rsidRDefault="006C2544" w14:paraId="10D0093F" w14:textId="577813A9">
      <w:pPr>
        <w:ind w:left="360"/>
        <w:rPr>
          <w:rFonts w:ascii="Calibri" w:hAnsi="Calibri" w:eastAsia="Calibri" w:cs="Calibri"/>
          <w:b w:val="1"/>
          <w:bCs w:val="1"/>
        </w:rPr>
      </w:pPr>
      <w:r w:rsidRPr="5E0B3DA5" w:rsidR="5E0B3DA5">
        <w:rPr>
          <w:rFonts w:ascii="Calibri" w:hAnsi="Calibri" w:eastAsia="Calibri" w:cs="Calibri"/>
          <w:b w:val="1"/>
          <w:bCs w:val="1"/>
        </w:rPr>
        <w:t xml:space="preserve">Summary: </w:t>
      </w:r>
      <w:hyperlink r:id="R1b43e249769d409f">
        <w:r w:rsidRPr="5E0B3DA5" w:rsidR="5E0B3DA5">
          <w:rPr>
            <w:rStyle w:val="Hyperlink"/>
            <w:rFonts w:ascii="Calibri" w:hAnsi="Calibri" w:eastAsia="Calibri" w:cs="Calibri"/>
            <w:b w:val="1"/>
            <w:bCs w:val="1"/>
          </w:rPr>
          <w:t>Current Models for Delivering College in Prison in New England (2022)</w:t>
        </w:r>
      </w:hyperlink>
      <w:r w:rsidRPr="5E0B3DA5" w:rsidR="5E0B3DA5">
        <w:rPr>
          <w:rFonts w:ascii="Calibri" w:hAnsi="Calibri" w:eastAsia="Calibri" w:cs="Calibri"/>
          <w:b w:val="1"/>
          <w:bCs w:val="1"/>
        </w:rPr>
        <w:t xml:space="preserve">, </w:t>
      </w:r>
      <w:r w:rsidRPr="5E0B3DA5" w:rsidR="5E0B3DA5">
        <w:rPr>
          <w:rFonts w:ascii="Calibri" w:hAnsi="Calibri" w:eastAsia="Calibri" w:cs="Calibri"/>
        </w:rPr>
        <w:t>NEBHE &amp; TEJI Commission Orientation Packet, Page 10</w:t>
      </w:r>
    </w:p>
    <w:p w:rsidR="006C2544" w:rsidP="001B5EDB" w:rsidRDefault="006C2544" w14:paraId="66679B3F" w14:textId="77777777">
      <w:pPr>
        <w:ind w:left="360"/>
        <w:rPr>
          <w:rFonts w:ascii="Calibri" w:hAnsi="Calibri" w:eastAsia="Calibri" w:cs="Calibri"/>
          <w:b/>
        </w:rPr>
      </w:pPr>
    </w:p>
    <w:p w:rsidRPr="00EC582E" w:rsidR="006C2544" w:rsidP="00EC582E" w:rsidRDefault="006C2544" w14:paraId="739285C8" w14:textId="5EEC8652">
      <w:pPr>
        <w:ind w:left="360"/>
        <w:rPr>
          <w:rFonts w:ascii="Calibri" w:hAnsi="Calibri" w:eastAsia="Calibri" w:cs="Calibri"/>
          <w:b/>
        </w:rPr>
      </w:pPr>
      <w:r>
        <w:rPr>
          <w:rFonts w:ascii="Calibri" w:hAnsi="Calibri" w:eastAsia="Calibri" w:cs="Calibri"/>
          <w:b/>
        </w:rPr>
        <w:t xml:space="preserve">Brief: </w:t>
      </w:r>
      <w:hyperlink w:history="1" r:id="rId8">
        <w:r w:rsidRPr="006C2544">
          <w:rPr>
            <w:rStyle w:val="Hyperlink"/>
            <w:rFonts w:ascii="Calibri" w:hAnsi="Calibri" w:eastAsia="Calibri" w:cs="Calibri"/>
            <w:b/>
          </w:rPr>
          <w:t>COVID-19 and Higher Education in Prison Programs</w:t>
        </w:r>
      </w:hyperlink>
      <w:r w:rsidR="001B5EDB">
        <w:rPr>
          <w:rFonts w:ascii="Calibri" w:hAnsi="Calibri" w:eastAsia="Calibri" w:cs="Calibri"/>
          <w:b/>
        </w:rPr>
        <w:t xml:space="preserve"> (2021)</w:t>
      </w:r>
      <w:r w:rsidR="00EC582E">
        <w:rPr>
          <w:rFonts w:ascii="Calibri" w:hAnsi="Calibri" w:eastAsia="Calibri" w:cs="Calibri"/>
          <w:b/>
        </w:rPr>
        <w:t xml:space="preserve">, </w:t>
      </w:r>
      <w:r w:rsidRPr="006C2544">
        <w:rPr>
          <w:rFonts w:ascii="Calibri" w:hAnsi="Calibri" w:eastAsia="Calibri" w:cs="Calibri"/>
          <w:bCs/>
        </w:rPr>
        <w:t>Alliance for Higher Education</w:t>
      </w:r>
      <w:r>
        <w:rPr>
          <w:rFonts w:ascii="Calibri" w:hAnsi="Calibri" w:eastAsia="Calibri" w:cs="Calibri"/>
          <w:bCs/>
        </w:rPr>
        <w:t xml:space="preserve"> in Prison</w:t>
      </w:r>
      <w:r>
        <w:rPr>
          <w:rFonts w:ascii="Calibri" w:hAnsi="Calibri" w:eastAsia="Calibri" w:cs="Calibri"/>
          <w:bCs/>
        </w:rPr>
        <w:br/>
      </w:r>
    </w:p>
    <w:p w:rsidR="006C2544" w:rsidP="001B5EDB" w:rsidRDefault="006C2544" w14:paraId="27381F2A" w14:textId="77777777">
      <w:pPr>
        <w:pStyle w:val="ListParagraph"/>
        <w:numPr>
          <w:ilvl w:val="0"/>
          <w:numId w:val="12"/>
        </w:numPr>
        <w:rPr>
          <w:rFonts w:ascii="Calibri" w:hAnsi="Calibri" w:eastAsia="Calibri" w:cs="Calibri"/>
          <w:lang w:val="en"/>
        </w:rPr>
      </w:pPr>
      <w:r w:rsidRPr="006C2544">
        <w:rPr>
          <w:rFonts w:ascii="Calibri" w:hAnsi="Calibri" w:eastAsia="Calibri" w:cs="Calibri"/>
          <w:lang w:val="en"/>
        </w:rPr>
        <w:t>Unlike colleges on the outside, the absence of access to technology meant that some college programs were forced to completely cease offering classes to incarcerated students or were only able to engage in correspondence programming.</w:t>
      </w:r>
    </w:p>
    <w:p w:rsidR="006C2544" w:rsidP="001B5EDB" w:rsidRDefault="006C2544" w14:paraId="359AE9B7" w14:textId="1B3E3FF3">
      <w:pPr>
        <w:pStyle w:val="ListParagraph"/>
        <w:numPr>
          <w:ilvl w:val="0"/>
          <w:numId w:val="12"/>
        </w:numPr>
        <w:rPr>
          <w:rFonts w:ascii="Calibri" w:hAnsi="Calibri" w:eastAsia="Calibri" w:cs="Calibri"/>
          <w:lang w:val="en"/>
        </w:rPr>
      </w:pPr>
      <w:r w:rsidRPr="006C2544">
        <w:rPr>
          <w:rFonts w:ascii="Calibri" w:hAnsi="Calibri" w:eastAsia="Calibri" w:cs="Calibri"/>
          <w:lang w:val="en"/>
        </w:rPr>
        <w:t>Due to closed or limited course offerings students have lost a year or more of progress towards a certificate or degree, and in some cases, inability to earn good-time credits during this period. </w:t>
      </w:r>
    </w:p>
    <w:p w:rsidR="00D14CFA" w:rsidP="001B5EDB" w:rsidRDefault="00D14CFA" w14:paraId="3E281DD3" w14:textId="7A1306E4">
      <w:pPr>
        <w:ind w:left="360"/>
        <w:rPr>
          <w:rFonts w:ascii="Calibri" w:hAnsi="Calibri" w:eastAsia="Calibri" w:cs="Calibri"/>
          <w:lang w:val="en"/>
        </w:rPr>
      </w:pPr>
    </w:p>
    <w:p w:rsidRPr="00D14CFA" w:rsidR="00D14CFA" w:rsidP="001B5EDB" w:rsidRDefault="00D14CFA" w14:paraId="46FC4C4B" w14:textId="6EA88FD8">
      <w:pPr>
        <w:ind w:left="360"/>
        <w:rPr>
          <w:rFonts w:ascii="Calibri" w:hAnsi="Calibri" w:eastAsia="Calibri" w:cs="Calibri"/>
          <w:b/>
        </w:rPr>
      </w:pPr>
      <w:r w:rsidRPr="00D14CFA">
        <w:rPr>
          <w:rFonts w:ascii="Calibri" w:hAnsi="Calibri" w:eastAsia="Calibri" w:cs="Calibri"/>
          <w:b/>
        </w:rPr>
        <w:t xml:space="preserve">Case Study: </w:t>
      </w:r>
      <w:hyperlink w:history="1" r:id="rId9">
        <w:r w:rsidRPr="00D14CFA">
          <w:rPr>
            <w:rStyle w:val="Hyperlink"/>
            <w:rFonts w:ascii="Calibri" w:hAnsi="Calibri" w:eastAsia="Calibri" w:cs="Calibri"/>
            <w:b/>
          </w:rPr>
          <w:t>Effective Online Course Delivery in Correctional Settings: A Pilot</w:t>
        </w:r>
      </w:hyperlink>
      <w:r w:rsidR="001B5EDB">
        <w:rPr>
          <w:rFonts w:ascii="Calibri" w:hAnsi="Calibri" w:eastAsia="Calibri" w:cs="Calibri"/>
          <w:b/>
        </w:rPr>
        <w:t xml:space="preserve"> (2022)</w:t>
      </w:r>
    </w:p>
    <w:p w:rsidRPr="00D14CFA" w:rsidR="00D14CFA" w:rsidP="001B5EDB" w:rsidRDefault="00D14CFA" w14:paraId="07E513A0" w14:textId="63136E69">
      <w:pPr>
        <w:ind w:left="360"/>
        <w:rPr>
          <w:rFonts w:ascii="Calibri" w:hAnsi="Calibri" w:eastAsia="Calibri" w:cs="Calibri"/>
          <w:bCs/>
        </w:rPr>
      </w:pPr>
      <w:r w:rsidRPr="00D14CFA">
        <w:rPr>
          <w:rFonts w:ascii="Calibri" w:hAnsi="Calibri" w:eastAsia="Calibri" w:cs="Calibri"/>
          <w:bCs/>
        </w:rPr>
        <w:t>Journal of Higher Education Theory and Practice</w:t>
      </w:r>
    </w:p>
    <w:p w:rsidR="006C2544" w:rsidRDefault="006C2544" w14:paraId="28E3E075" w14:textId="77777777">
      <w:pPr>
        <w:rPr>
          <w:rFonts w:ascii="Calibri" w:hAnsi="Calibri" w:eastAsia="Calibri" w:cs="Calibri"/>
          <w:b/>
        </w:rPr>
      </w:pPr>
    </w:p>
    <w:p w:rsidR="006C2544" w:rsidRDefault="006C2544" w14:paraId="58B759CC" w14:textId="4A4735B3">
      <w:pPr>
        <w:rPr>
          <w:rFonts w:ascii="Calibri" w:hAnsi="Calibri" w:eastAsia="Calibri" w:cs="Calibri"/>
          <w:b/>
        </w:rPr>
      </w:pPr>
      <w:r>
        <w:rPr>
          <w:rFonts w:ascii="Calibri" w:hAnsi="Calibri" w:eastAsia="Calibri" w:cs="Calibri"/>
          <w:b/>
        </w:rPr>
        <w:t>EMPLOYABILITY</w:t>
      </w:r>
    </w:p>
    <w:p w:rsidR="006C2544" w:rsidRDefault="006C2544" w14:paraId="3125B036" w14:textId="6C8CA56A">
      <w:pPr>
        <w:rPr>
          <w:rFonts w:ascii="Calibri" w:hAnsi="Calibri" w:eastAsia="Calibri" w:cs="Calibri"/>
          <w:b/>
        </w:rPr>
      </w:pPr>
    </w:p>
    <w:p w:rsidRPr="006C2544" w:rsidR="006C2544" w:rsidP="001B5EDB" w:rsidRDefault="006C2544" w14:paraId="4A07DD3F" w14:textId="36A1431C">
      <w:pPr>
        <w:ind w:left="360"/>
        <w:rPr>
          <w:rStyle w:val="Hyperlink"/>
          <w:rFonts w:ascii="Calibri" w:hAnsi="Calibri" w:eastAsia="Calibri" w:cs="Calibri"/>
          <w:b/>
          <w:bCs/>
        </w:rPr>
      </w:pPr>
      <w:r>
        <w:rPr>
          <w:rFonts w:ascii="Calibri" w:hAnsi="Calibri" w:eastAsia="Calibri" w:cs="Calibri"/>
          <w:b/>
          <w:bCs/>
        </w:rPr>
        <w:t xml:space="preserve">Article: </w:t>
      </w:r>
      <w:r>
        <w:rPr>
          <w:rFonts w:ascii="Calibri" w:hAnsi="Calibri" w:eastAsia="Calibri" w:cs="Calibri"/>
          <w:b/>
          <w:bCs/>
          <w:color w:val="1F497D" w:themeColor="text2"/>
        </w:rPr>
        <w:fldChar w:fldCharType="begin"/>
      </w:r>
      <w:r>
        <w:rPr>
          <w:rFonts w:ascii="Calibri" w:hAnsi="Calibri" w:eastAsia="Calibri" w:cs="Calibri"/>
          <w:b/>
          <w:bCs/>
          <w:color w:val="1F497D" w:themeColor="text2"/>
        </w:rPr>
        <w:instrText xml:space="preserve"> HYPERLINK "https://csgjusticecenter.org/2020/02/28/as-jobs-market-is-struggles-formerly-incarcerated-are-prevented-from-helping/" </w:instrText>
      </w:r>
      <w:r>
        <w:rPr>
          <w:rFonts w:ascii="Calibri" w:hAnsi="Calibri" w:eastAsia="Calibri" w:cs="Calibri"/>
          <w:b/>
          <w:bCs/>
          <w:color w:val="1F497D" w:themeColor="text2"/>
        </w:rPr>
      </w:r>
      <w:r>
        <w:rPr>
          <w:rFonts w:ascii="Calibri" w:hAnsi="Calibri" w:eastAsia="Calibri" w:cs="Calibri"/>
          <w:b/>
          <w:bCs/>
          <w:color w:val="1F497D" w:themeColor="text2"/>
        </w:rPr>
        <w:fldChar w:fldCharType="separate"/>
      </w:r>
      <w:r w:rsidRPr="006C2544">
        <w:rPr>
          <w:rStyle w:val="Hyperlink"/>
          <w:rFonts w:ascii="Calibri" w:hAnsi="Calibri" w:eastAsia="Calibri" w:cs="Calibri"/>
          <w:b/>
          <w:bCs/>
        </w:rPr>
        <w:t xml:space="preserve">As Jobs Market Struggles, Formerly Incarcerated are Prevented </w:t>
      </w:r>
      <w:r w:rsidRPr="006C2544">
        <w:rPr>
          <w:rStyle w:val="Hyperlink"/>
          <w:rFonts w:ascii="Calibri" w:hAnsi="Calibri" w:eastAsia="Calibri" w:cs="Calibri"/>
          <w:b/>
          <w:bCs/>
        </w:rPr>
        <w:t>f</w:t>
      </w:r>
      <w:r w:rsidRPr="006C2544">
        <w:rPr>
          <w:rStyle w:val="Hyperlink"/>
          <w:rFonts w:ascii="Calibri" w:hAnsi="Calibri" w:eastAsia="Calibri" w:cs="Calibri"/>
          <w:b/>
          <w:bCs/>
        </w:rPr>
        <w:t>rom Helping</w:t>
      </w:r>
      <w:r w:rsidRPr="006C2544">
        <w:rPr>
          <w:rStyle w:val="Hyperlink"/>
          <w:rFonts w:ascii="Calibri" w:hAnsi="Calibri" w:eastAsia="Calibri" w:cs="Calibri"/>
          <w:b/>
          <w:bCs/>
        </w:rPr>
        <w:t xml:space="preserve"> </w:t>
      </w:r>
    </w:p>
    <w:p w:rsidRPr="00EC582E" w:rsidR="006C2544" w:rsidP="00EC582E" w:rsidRDefault="006C2544" w14:paraId="6060CA05" w14:textId="76F232F2">
      <w:pPr>
        <w:ind w:left="360"/>
        <w:rPr>
          <w:rFonts w:ascii="Calibri" w:hAnsi="Calibri" w:eastAsia="Calibri" w:cs="Calibri"/>
          <w:i/>
          <w:iCs/>
          <w:color w:val="1F497D" w:themeColor="text2"/>
        </w:rPr>
      </w:pPr>
      <w:r w:rsidRPr="006C2544">
        <w:rPr>
          <w:rStyle w:val="Hyperlink"/>
          <w:rFonts w:ascii="Calibri" w:hAnsi="Calibri" w:eastAsia="Calibri" w:cs="Calibri"/>
          <w:i/>
          <w:iCs/>
        </w:rPr>
        <w:t>Employers are looking for workers</w:t>
      </w:r>
      <w:r w:rsidRPr="006C2544">
        <w:rPr>
          <w:rStyle w:val="Hyperlink"/>
          <w:rFonts w:ascii="Calibri" w:hAnsi="Calibri" w:eastAsia="Calibri" w:cs="Calibri"/>
          <w:i/>
          <w:iCs/>
        </w:rPr>
        <w:t xml:space="preserve"> </w:t>
      </w:r>
      <w:r w:rsidRPr="006C2544">
        <w:rPr>
          <w:rStyle w:val="Hyperlink"/>
          <w:rFonts w:ascii="Calibri" w:hAnsi="Calibri" w:eastAsia="Calibri" w:cs="Calibri"/>
          <w:i/>
          <w:iCs/>
        </w:rPr>
        <w:t xml:space="preserve">and people with criminal records are looking for jobs. </w:t>
      </w:r>
      <w:proofErr w:type="gramStart"/>
      <w:r w:rsidRPr="006C2544">
        <w:rPr>
          <w:rStyle w:val="Hyperlink"/>
          <w:rFonts w:ascii="Calibri" w:hAnsi="Calibri" w:eastAsia="Calibri" w:cs="Calibri"/>
          <w:i/>
          <w:iCs/>
        </w:rPr>
        <w:t>So</w:t>
      </w:r>
      <w:proofErr w:type="gramEnd"/>
      <w:r w:rsidRPr="006C2544">
        <w:rPr>
          <w:rStyle w:val="Hyperlink"/>
          <w:rFonts w:ascii="Calibri" w:hAnsi="Calibri" w:eastAsia="Calibri" w:cs="Calibri"/>
          <w:i/>
          <w:iCs/>
        </w:rPr>
        <w:t xml:space="preserve"> where's the disconnect?</w:t>
      </w:r>
      <w:r>
        <w:rPr>
          <w:rFonts w:ascii="Calibri" w:hAnsi="Calibri" w:eastAsia="Calibri" w:cs="Calibri"/>
          <w:b/>
          <w:bCs/>
          <w:color w:val="1F497D" w:themeColor="text2"/>
        </w:rPr>
        <w:fldChar w:fldCharType="end"/>
      </w:r>
      <w:r w:rsidR="001B5EDB">
        <w:rPr>
          <w:rFonts w:ascii="Calibri" w:hAnsi="Calibri" w:eastAsia="Calibri" w:cs="Calibri"/>
          <w:b/>
          <w:bCs/>
          <w:color w:val="1F497D" w:themeColor="text2"/>
        </w:rPr>
        <w:t xml:space="preserve"> (</w:t>
      </w:r>
      <w:r w:rsidRPr="001B5EDB" w:rsidR="001B5EDB">
        <w:rPr>
          <w:rFonts w:ascii="Calibri" w:hAnsi="Calibri" w:eastAsia="Calibri" w:cs="Calibri"/>
          <w:b/>
          <w:bCs/>
          <w:color w:val="000000" w:themeColor="text1"/>
        </w:rPr>
        <w:t>2020)</w:t>
      </w:r>
      <w:r w:rsidR="00EC582E">
        <w:rPr>
          <w:rFonts w:ascii="Calibri" w:hAnsi="Calibri" w:eastAsia="Calibri" w:cs="Calibri"/>
          <w:i/>
          <w:iCs/>
          <w:color w:val="1F497D" w:themeColor="text2"/>
        </w:rPr>
        <w:t xml:space="preserve">, </w:t>
      </w:r>
      <w:r>
        <w:rPr>
          <w:rFonts w:ascii="Calibri" w:hAnsi="Calibri" w:eastAsia="Calibri" w:cs="Calibri"/>
        </w:rPr>
        <w:t>Council of State Governments – Justice Center</w:t>
      </w:r>
    </w:p>
    <w:p w:rsidR="006C2544" w:rsidP="001B5EDB" w:rsidRDefault="006C2544" w14:paraId="6A157BD1" w14:textId="553C0194">
      <w:pPr>
        <w:ind w:left="360"/>
        <w:rPr>
          <w:rFonts w:ascii="Calibri" w:hAnsi="Calibri" w:eastAsia="Calibri" w:cs="Calibri"/>
        </w:rPr>
      </w:pPr>
    </w:p>
    <w:p w:rsidRPr="006C2544" w:rsidR="006C2544" w:rsidP="001B5EDB" w:rsidRDefault="006C2544" w14:paraId="7A155FE2" w14:textId="19A83988">
      <w:pPr>
        <w:pStyle w:val="ListParagraph"/>
        <w:numPr>
          <w:ilvl w:val="0"/>
          <w:numId w:val="12"/>
        </w:numPr>
        <w:rPr>
          <w:rFonts w:ascii="Calibri" w:hAnsi="Calibri" w:eastAsia="Calibri" w:cs="Calibri"/>
        </w:rPr>
      </w:pPr>
      <w:r w:rsidRPr="006C2544">
        <w:rPr>
          <w:rFonts w:ascii="Calibri" w:hAnsi="Calibri" w:eastAsia="Calibri" w:cs="Calibri"/>
          <w:lang w:val="en"/>
        </w:rPr>
        <w:t>Collectively, the United States loses approximately </w:t>
      </w:r>
      <w:hyperlink w:tgtFrame="_blank" w:history="1" r:id="rId10">
        <w:r w:rsidRPr="006C2544">
          <w:rPr>
            <w:rStyle w:val="Hyperlink"/>
            <w:rFonts w:ascii="Calibri" w:hAnsi="Calibri" w:eastAsia="Calibri" w:cs="Calibri"/>
            <w:lang w:val="en"/>
          </w:rPr>
          <w:t>$78 billion to $87 billion</w:t>
        </w:r>
      </w:hyperlink>
      <w:r w:rsidRPr="006C2544">
        <w:rPr>
          <w:rFonts w:ascii="Calibri" w:hAnsi="Calibri" w:eastAsia="Calibri" w:cs="Calibri"/>
          <w:lang w:val="en"/>
        </w:rPr>
        <w:t> in annual gross domestic product because of the unemployment or underemployment of people who have criminal records.</w:t>
      </w:r>
    </w:p>
    <w:p w:rsidRPr="006C2544" w:rsidR="006C2544" w:rsidP="001B5EDB" w:rsidRDefault="006C2544" w14:paraId="1AABA7DE" w14:textId="2F105178">
      <w:pPr>
        <w:pStyle w:val="ListParagraph"/>
        <w:numPr>
          <w:ilvl w:val="0"/>
          <w:numId w:val="12"/>
        </w:numPr>
        <w:rPr>
          <w:rFonts w:ascii="Calibri" w:hAnsi="Calibri" w:eastAsia="Calibri" w:cs="Calibri"/>
        </w:rPr>
      </w:pPr>
      <w:r w:rsidRPr="006C2544">
        <w:rPr>
          <w:rFonts w:ascii="Calibri" w:hAnsi="Calibri" w:eastAsia="Calibri" w:cs="Calibri"/>
          <w:lang w:val="en"/>
        </w:rPr>
        <w:t>Continued education is critical to helping people find work. People who take vocational courses in prison, for instance, are </w:t>
      </w:r>
      <w:hyperlink w:tgtFrame="_blank" w:history="1" r:id="rId11">
        <w:r w:rsidRPr="006C2544">
          <w:rPr>
            <w:rStyle w:val="Hyperlink"/>
            <w:rFonts w:ascii="Calibri" w:hAnsi="Calibri" w:eastAsia="Calibri" w:cs="Calibri"/>
            <w:lang w:val="en"/>
          </w:rPr>
          <w:t>28 percent more likely </w:t>
        </w:r>
      </w:hyperlink>
      <w:r w:rsidRPr="006C2544">
        <w:rPr>
          <w:rFonts w:ascii="Calibri" w:hAnsi="Calibri" w:eastAsia="Calibri" w:cs="Calibri"/>
          <w:lang w:val="en"/>
        </w:rPr>
        <w:t>to find a job in the community than those who don’t.</w:t>
      </w:r>
    </w:p>
    <w:p w:rsidR="006C2544" w:rsidP="001B5EDB" w:rsidRDefault="006C2544" w14:paraId="5FA70C9C" w14:textId="77777777">
      <w:pPr>
        <w:ind w:left="360"/>
        <w:rPr>
          <w:rFonts w:ascii="Calibri" w:hAnsi="Calibri" w:eastAsia="Calibri" w:cs="Calibri"/>
          <w:b/>
        </w:rPr>
      </w:pPr>
    </w:p>
    <w:p w:rsidRPr="00EC582E" w:rsidR="006C2544" w:rsidP="00EC582E" w:rsidRDefault="006C2544" w14:paraId="2F02B7C1" w14:textId="48D5BB84">
      <w:pPr>
        <w:ind w:left="360"/>
        <w:rPr>
          <w:rFonts w:ascii="Calibri" w:hAnsi="Calibri" w:eastAsia="Calibri" w:cs="Calibri"/>
          <w:b/>
        </w:rPr>
      </w:pPr>
      <w:r>
        <w:rPr>
          <w:rFonts w:ascii="Calibri" w:hAnsi="Calibri" w:eastAsia="Calibri" w:cs="Calibri"/>
          <w:b/>
        </w:rPr>
        <w:t xml:space="preserve">Sample policy: </w:t>
      </w:r>
      <w:hyperlink w:history="1" r:id="rId12">
        <w:r w:rsidRPr="006C2544">
          <w:rPr>
            <w:rStyle w:val="Hyperlink"/>
            <w:rFonts w:ascii="Calibri" w:hAnsi="Calibri" w:eastAsia="Calibri" w:cs="Calibri"/>
            <w:b/>
          </w:rPr>
          <w:t>Re-entry legislation: 2022 summary (updated March 3, 2023)</w:t>
        </w:r>
      </w:hyperlink>
      <w:r w:rsidR="00EC582E">
        <w:rPr>
          <w:rFonts w:ascii="Calibri" w:hAnsi="Calibri" w:eastAsia="Calibri" w:cs="Calibri"/>
          <w:b/>
        </w:rPr>
        <w:t xml:space="preserve">, </w:t>
      </w:r>
      <w:r>
        <w:rPr>
          <w:rFonts w:ascii="Calibri" w:hAnsi="Calibri" w:eastAsia="Calibri" w:cs="Calibri"/>
          <w:bCs/>
        </w:rPr>
        <w:t xml:space="preserve">National Conference for State Legislatures </w:t>
      </w:r>
    </w:p>
    <w:p w:rsidR="006C2544" w:rsidP="001B5EDB" w:rsidRDefault="006C2544" w14:paraId="61D76300" w14:textId="1EFDD2B7">
      <w:pPr>
        <w:ind w:left="360"/>
        <w:rPr>
          <w:rFonts w:ascii="Calibri" w:hAnsi="Calibri" w:eastAsia="Calibri" w:cs="Calibri"/>
          <w:bCs/>
        </w:rPr>
      </w:pPr>
    </w:p>
    <w:p w:rsidRPr="006C2544" w:rsidR="006C2544" w:rsidP="001B5EDB" w:rsidRDefault="006C2544" w14:paraId="74318CBD" w14:textId="3C4CF814">
      <w:pPr>
        <w:pStyle w:val="ListParagraph"/>
        <w:numPr>
          <w:ilvl w:val="0"/>
          <w:numId w:val="12"/>
        </w:numPr>
        <w:rPr>
          <w:rFonts w:ascii="Calibri" w:hAnsi="Calibri" w:eastAsia="Calibri" w:cs="Calibri"/>
          <w:lang w:val="en"/>
        </w:rPr>
      </w:pPr>
      <w:r w:rsidRPr="006C2544">
        <w:rPr>
          <w:rFonts w:ascii="Calibri" w:hAnsi="Calibri" w:eastAsia="Calibri" w:cs="Calibri"/>
          <w:lang w:val="en"/>
        </w:rPr>
        <w:t>Reentry programs and services aim to help people successfully rejoin society following a period of incarceration.</w:t>
      </w:r>
    </w:p>
    <w:p w:rsidR="00D14CFA" w:rsidP="001B5EDB" w:rsidRDefault="006C2544" w14:paraId="6198B6CD" w14:textId="77777777">
      <w:pPr>
        <w:pStyle w:val="ListParagraph"/>
        <w:numPr>
          <w:ilvl w:val="0"/>
          <w:numId w:val="12"/>
        </w:numPr>
        <w:rPr>
          <w:rFonts w:ascii="Calibri" w:hAnsi="Calibri" w:eastAsia="Calibri" w:cs="Calibri"/>
          <w:lang w:val="en"/>
        </w:rPr>
      </w:pPr>
      <w:r w:rsidRPr="006C2544">
        <w:rPr>
          <w:rFonts w:ascii="Calibri" w:hAnsi="Calibri" w:eastAsia="Calibri" w:cs="Calibri"/>
          <w:lang w:val="en"/>
        </w:rPr>
        <w:t xml:space="preserve">Analysis includes sample legislation including the following topics: automatic record clearing, funding reentry programming, employment readiness of offenders, program oversight and individuals’ ability to pay court fines and fees. </w:t>
      </w:r>
    </w:p>
    <w:p w:rsidR="00D14CFA" w:rsidP="00D14CFA" w:rsidRDefault="00D14CFA" w14:paraId="0D23F465" w14:textId="77777777">
      <w:pPr>
        <w:rPr>
          <w:rFonts w:ascii="Calibri" w:hAnsi="Calibri" w:eastAsia="Calibri" w:cs="Calibri"/>
          <w:b/>
          <w:bCs/>
          <w:lang w:val="en"/>
        </w:rPr>
      </w:pPr>
    </w:p>
    <w:p w:rsidRPr="00D14CFA" w:rsidR="00D14CFA" w:rsidP="001B5EDB" w:rsidRDefault="00D14CFA" w14:paraId="37763AC8" w14:textId="7469D5DC">
      <w:pPr>
        <w:rPr>
          <w:rFonts w:ascii="Calibri" w:hAnsi="Calibri" w:eastAsia="Calibri" w:cs="Calibri"/>
          <w:lang w:val="en"/>
        </w:rPr>
      </w:pPr>
      <w:r>
        <w:rPr>
          <w:rFonts w:ascii="Calibri" w:hAnsi="Calibri" w:eastAsia="Calibri" w:cs="Calibri"/>
          <w:b/>
          <w:bCs/>
          <w:lang w:val="en"/>
        </w:rPr>
        <w:t>In depth:</w:t>
      </w:r>
    </w:p>
    <w:p w:rsidR="00D14CFA" w:rsidP="001B5EDB" w:rsidRDefault="00D14CFA" w14:paraId="6152E9B5" w14:textId="6215985A">
      <w:pPr>
        <w:rPr>
          <w:rFonts w:ascii="Calibri" w:hAnsi="Calibri" w:eastAsia="Calibri" w:cs="Calibri"/>
          <w:lang w:val="en"/>
        </w:rPr>
      </w:pPr>
      <w:r>
        <w:rPr>
          <w:rFonts w:ascii="Calibri" w:hAnsi="Calibri" w:eastAsia="Calibri" w:cs="Calibri"/>
          <w:lang w:val="en"/>
        </w:rPr>
        <w:t xml:space="preserve"> </w:t>
      </w:r>
    </w:p>
    <w:p w:rsidRPr="00D14CFA" w:rsidR="00D14CFA" w:rsidP="00D63697" w:rsidRDefault="00D14CFA" w14:paraId="30A8F51D" w14:textId="2C971A40">
      <w:pPr>
        <w:ind w:left="360"/>
        <w:rPr>
          <w:rFonts w:ascii="Calibri" w:hAnsi="Calibri" w:eastAsia="Calibri" w:cs="Calibri"/>
          <w:b/>
        </w:rPr>
      </w:pPr>
      <w:r>
        <w:rPr>
          <w:rFonts w:ascii="Calibri" w:hAnsi="Calibri" w:eastAsia="Calibri" w:cs="Calibri"/>
          <w:b/>
        </w:rPr>
        <w:t xml:space="preserve">Brief: </w:t>
      </w:r>
      <w:hyperlink w:history="1" r:id="rId13">
        <w:r w:rsidRPr="006C2544">
          <w:rPr>
            <w:rStyle w:val="Hyperlink"/>
            <w:rFonts w:ascii="Calibri" w:hAnsi="Calibri" w:eastAsia="Calibri" w:cs="Calibri"/>
            <w:b/>
          </w:rPr>
          <w:t>Barriers to Work: Improving Employment in Licensed Occupations for Individuals with Criminal Records</w:t>
        </w:r>
      </w:hyperlink>
      <w:r w:rsidR="001B5EDB">
        <w:rPr>
          <w:rFonts w:ascii="Calibri" w:hAnsi="Calibri" w:eastAsia="Calibri" w:cs="Calibri"/>
          <w:b/>
        </w:rPr>
        <w:t xml:space="preserve"> (2018)</w:t>
      </w:r>
      <w:r>
        <w:rPr>
          <w:rFonts w:ascii="Calibri" w:hAnsi="Calibri" w:eastAsia="Calibri" w:cs="Calibri"/>
          <w:b/>
        </w:rPr>
        <w:t xml:space="preserve">, </w:t>
      </w:r>
      <w:r>
        <w:rPr>
          <w:rFonts w:ascii="Calibri" w:hAnsi="Calibri" w:eastAsia="Calibri" w:cs="Calibri"/>
        </w:rPr>
        <w:t>Council of State Governments – Justice Center</w:t>
      </w:r>
    </w:p>
    <w:p w:rsidR="00D14CFA" w:rsidP="00D63697" w:rsidRDefault="00D14CFA" w14:paraId="09849404" w14:textId="77777777">
      <w:pPr>
        <w:ind w:left="360"/>
        <w:rPr>
          <w:rFonts w:ascii="Calibri" w:hAnsi="Calibri" w:eastAsia="Calibri" w:cs="Calibri"/>
          <w:lang w:val="en"/>
        </w:rPr>
      </w:pPr>
    </w:p>
    <w:p w:rsidRPr="00D14CFA" w:rsidR="00D14CFA" w:rsidP="00D63697" w:rsidRDefault="00D14CFA" w14:paraId="0B0B6321" w14:textId="3FEC3F3E">
      <w:pPr>
        <w:ind w:left="360"/>
        <w:rPr>
          <w:rFonts w:ascii="Calibri" w:hAnsi="Calibri" w:eastAsia="Calibri" w:cs="Calibri"/>
        </w:rPr>
      </w:pPr>
      <w:r w:rsidRPr="59EFDA76" w:rsidR="59EFDA76">
        <w:rPr>
          <w:rFonts w:ascii="Calibri" w:hAnsi="Calibri" w:eastAsia="Calibri" w:cs="Calibri"/>
          <w:b w:val="1"/>
          <w:bCs w:val="1"/>
          <w:lang w:val="en"/>
        </w:rPr>
        <w:t>Report:</w:t>
      </w:r>
      <w:r w:rsidRPr="59EFDA76" w:rsidR="59EFDA76">
        <w:rPr>
          <w:rFonts w:ascii="Calibri" w:hAnsi="Calibri" w:eastAsia="Calibri" w:cs="Calibri"/>
          <w:lang w:val="en"/>
        </w:rPr>
        <w:t xml:space="preserve"> </w:t>
      </w:r>
      <w:hyperlink r:id="Ra455bf37578144f1">
        <w:r w:rsidRPr="59EFDA76" w:rsidR="59EFDA76">
          <w:rPr>
            <w:rStyle w:val="Hyperlink"/>
            <w:rFonts w:ascii="Calibri" w:hAnsi="Calibri" w:eastAsia="Calibri" w:cs="Calibri"/>
            <w:b w:val="1"/>
            <w:bCs w:val="1"/>
            <w:lang w:val="en"/>
          </w:rPr>
          <w:t xml:space="preserve">Integrated Reentry and Employment Strategies: </w:t>
        </w:r>
        <w:r w:rsidRPr="59EFDA76" w:rsidR="59EFDA76">
          <w:rPr>
            <w:rStyle w:val="Hyperlink"/>
            <w:rFonts w:ascii="Calibri" w:hAnsi="Calibri" w:eastAsia="Calibri" w:cs="Calibri"/>
            <w:b w:val="1"/>
            <w:bCs w:val="1"/>
          </w:rPr>
          <w:t>Reducing Recidivism and Promoting Job Readiness</w:t>
        </w:r>
        <w:r w:rsidRPr="59EFDA76" w:rsidR="59EFDA76">
          <w:rPr>
            <w:rStyle w:val="Hyperlink"/>
            <w:rFonts w:ascii="Calibri" w:hAnsi="Calibri" w:eastAsia="Calibri" w:cs="Calibri"/>
            <w:b w:val="1"/>
            <w:bCs w:val="1"/>
          </w:rPr>
          <w:t xml:space="preserve"> (2013)</w:t>
        </w:r>
      </w:hyperlink>
      <w:r w:rsidRPr="59EFDA76" w:rsidR="59EFDA76">
        <w:rPr>
          <w:rFonts w:ascii="Calibri" w:hAnsi="Calibri" w:eastAsia="Calibri" w:cs="Calibri"/>
          <w:b w:val="1"/>
          <w:bCs w:val="1"/>
        </w:rPr>
        <w:t xml:space="preserve">, </w:t>
      </w:r>
      <w:r w:rsidRPr="59EFDA76" w:rsidR="59EFDA76">
        <w:rPr>
          <w:rFonts w:ascii="Calibri" w:hAnsi="Calibri" w:eastAsia="Calibri" w:cs="Calibri"/>
        </w:rPr>
        <w:t>Council of State Governments - Justice Center</w:t>
      </w:r>
    </w:p>
    <w:p w:rsidR="59EFDA76" w:rsidP="59EFDA76" w:rsidRDefault="59EFDA76" w14:paraId="41693D47" w14:textId="24723C54">
      <w:pPr>
        <w:pStyle w:val="Normal"/>
        <w:ind w:left="360"/>
        <w:rPr>
          <w:rFonts w:ascii="Calibri" w:hAnsi="Calibri" w:eastAsia="Calibri" w:cs="Calibri"/>
        </w:rPr>
      </w:pPr>
    </w:p>
    <w:p w:rsidR="59EFDA76" w:rsidP="59EFDA76" w:rsidRDefault="59EFDA76" w14:paraId="4D7BD338" w14:textId="1CCF30A1">
      <w:pPr>
        <w:pStyle w:val="Normal"/>
        <w:ind w:left="360"/>
        <w:rPr>
          <w:rFonts w:ascii="Calibri" w:hAnsi="Calibri" w:eastAsia="Calibri" w:cs="Calibri"/>
        </w:rPr>
      </w:pPr>
      <w:r w:rsidRPr="336D6568" w:rsidR="336D6568">
        <w:rPr>
          <w:rFonts w:ascii="Calibri" w:hAnsi="Calibri" w:eastAsia="Calibri" w:cs="Calibri"/>
          <w:b w:val="1"/>
          <w:bCs w:val="1"/>
        </w:rPr>
        <w:t xml:space="preserve">Magazine: </w:t>
      </w:r>
      <w:r w:rsidRPr="336D6568" w:rsidR="336D6568">
        <w:rPr>
          <w:rFonts w:ascii="Calibri" w:hAnsi="Calibri" w:eastAsia="Calibri" w:cs="Calibri"/>
          <w:b w:val="0"/>
          <w:bCs w:val="0"/>
        </w:rPr>
        <w:t>America Working Forward (2019), U.S. Chamber of Commerce Special Report (attached)</w:t>
      </w:r>
    </w:p>
    <w:sectPr w:rsidRPr="00D14CFA" w:rsidR="00D14CFA">
      <w:headerReference w:type="default" r:id="rId15"/>
      <w:headerReference w:type="first" r:id="rId16"/>
      <w:footerReference w:type="first" r:id="rId17"/>
      <w:pgSz w:w="12240" w:h="15840" w:orient="portrait"/>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94" w:rsidRDefault="00A51494" w14:paraId="77A40C84" w14:textId="77777777">
      <w:r>
        <w:separator/>
      </w:r>
    </w:p>
  </w:endnote>
  <w:endnote w:type="continuationSeparator" w:id="0">
    <w:p w:rsidR="00A51494" w:rsidRDefault="00A51494" w14:paraId="539FCC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02572" w:rsidRDefault="006C2544" w14:paraId="614016EE" w14:textId="0BF5CB77">
    <w:r>
      <w:rPr>
        <w:noProof/>
      </w:rPr>
      <w:drawing>
        <wp:inline distT="0" distB="0" distL="0" distR="0" wp14:anchorId="6F8B4F45" wp14:editId="126B40FB">
          <wp:extent cx="1819072" cy="3224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77417" cy="3327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94" w:rsidRDefault="00A51494" w14:paraId="3206918B" w14:textId="77777777">
      <w:r>
        <w:separator/>
      </w:r>
    </w:p>
  </w:footnote>
  <w:footnote w:type="continuationSeparator" w:id="0">
    <w:p w:rsidR="00A51494" w:rsidRDefault="00A51494" w14:paraId="4248477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572" w:rsidRDefault="00E02572" w14:paraId="5D453275" w14:textId="77777777">
    <w:pPr>
      <w:jc w:val="center"/>
      <w:rPr>
        <w:rFonts w:ascii="Calibri" w:hAnsi="Calibri" w:eastAsia="Calibri" w:cs="Calibri"/>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2544" w:rsidR="00E02572" w:rsidRDefault="006C2544" w14:paraId="47A0F013" w14:textId="74E068FF">
    <w:pPr>
      <w:jc w:val="center"/>
      <w:rPr>
        <w:rFonts w:ascii="Calibri" w:hAnsi="Calibri" w:eastAsia="Calibri" w:cs="Calibri"/>
        <w:b/>
        <w:i/>
        <w:sz w:val="12"/>
        <w:szCs w:val="12"/>
      </w:rPr>
    </w:pPr>
    <w:r>
      <w:rPr>
        <w:rFonts w:ascii="Calibri" w:hAnsi="Calibri" w:eastAsia="Calibri" w:cs="Calibri"/>
        <w:b/>
        <w:i/>
      </w:rPr>
      <w:t>Recommended 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76C"/>
    <w:multiLevelType w:val="hybridMultilevel"/>
    <w:tmpl w:val="B61CEA54"/>
    <w:lvl w:ilvl="0" w:tplc="3C5C1472">
      <w:start w:val="6"/>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4A0E1F"/>
    <w:multiLevelType w:val="multilevel"/>
    <w:tmpl w:val="F1226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6843D1"/>
    <w:multiLevelType w:val="multilevel"/>
    <w:tmpl w:val="D1462902"/>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02B3784"/>
    <w:multiLevelType w:val="multilevel"/>
    <w:tmpl w:val="25DE1B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9914890"/>
    <w:multiLevelType w:val="multilevel"/>
    <w:tmpl w:val="DF9629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AA007B0"/>
    <w:multiLevelType w:val="hybridMultilevel"/>
    <w:tmpl w:val="800251A0"/>
    <w:lvl w:ilvl="0" w:tplc="94805B56">
      <w:start w:val="6"/>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1AF3508"/>
    <w:multiLevelType w:val="hybridMultilevel"/>
    <w:tmpl w:val="8C726416"/>
    <w:lvl w:ilvl="0" w:tplc="DB8E67D4">
      <w:start w:val="6"/>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6034D8D"/>
    <w:multiLevelType w:val="multilevel"/>
    <w:tmpl w:val="CE66CC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1215C1A"/>
    <w:multiLevelType w:val="multilevel"/>
    <w:tmpl w:val="5290B2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BFC3E8F"/>
    <w:multiLevelType w:val="hybridMultilevel"/>
    <w:tmpl w:val="019AAE52"/>
    <w:lvl w:ilvl="0" w:tplc="839097C6">
      <w:start w:val="6"/>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7EC4757"/>
    <w:multiLevelType w:val="multilevel"/>
    <w:tmpl w:val="20604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8F25CA7"/>
    <w:multiLevelType w:val="multilevel"/>
    <w:tmpl w:val="5E684D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AAC05AD"/>
    <w:multiLevelType w:val="multilevel"/>
    <w:tmpl w:val="C688CE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FB11634"/>
    <w:multiLevelType w:val="hybridMultilevel"/>
    <w:tmpl w:val="E6028314"/>
    <w:lvl w:ilvl="0" w:tplc="DE68EEE8">
      <w:start w:val="6"/>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A710FD1"/>
    <w:multiLevelType w:val="multilevel"/>
    <w:tmpl w:val="1376E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1F15C2"/>
    <w:multiLevelType w:val="multilevel"/>
    <w:tmpl w:val="AAA283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827935613">
    <w:abstractNumId w:val="10"/>
  </w:num>
  <w:num w:numId="2" w16cid:durableId="1271159481">
    <w:abstractNumId w:val="1"/>
  </w:num>
  <w:num w:numId="3" w16cid:durableId="1369254581">
    <w:abstractNumId w:val="7"/>
  </w:num>
  <w:num w:numId="4" w16cid:durableId="224802161">
    <w:abstractNumId w:val="3"/>
  </w:num>
  <w:num w:numId="5" w16cid:durableId="986126616">
    <w:abstractNumId w:val="14"/>
  </w:num>
  <w:num w:numId="6" w16cid:durableId="1785885487">
    <w:abstractNumId w:val="2"/>
  </w:num>
  <w:num w:numId="7" w16cid:durableId="1641377897">
    <w:abstractNumId w:val="12"/>
  </w:num>
  <w:num w:numId="8" w16cid:durableId="799152327">
    <w:abstractNumId w:val="5"/>
  </w:num>
  <w:num w:numId="9" w16cid:durableId="484393982">
    <w:abstractNumId w:val="4"/>
  </w:num>
  <w:num w:numId="10" w16cid:durableId="745762675">
    <w:abstractNumId w:val="6"/>
  </w:num>
  <w:num w:numId="11" w16cid:durableId="212887009">
    <w:abstractNumId w:val="11"/>
  </w:num>
  <w:num w:numId="12" w16cid:durableId="1261253040">
    <w:abstractNumId w:val="13"/>
  </w:num>
  <w:num w:numId="13" w16cid:durableId="1280258773">
    <w:abstractNumId w:val="9"/>
  </w:num>
  <w:num w:numId="14" w16cid:durableId="1095052855">
    <w:abstractNumId w:val="8"/>
  </w:num>
  <w:num w:numId="15" w16cid:durableId="1083914015">
    <w:abstractNumId w:val="15"/>
  </w:num>
  <w:num w:numId="16" w16cid:durableId="102848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72"/>
    <w:rsid w:val="001B5EDB"/>
    <w:rsid w:val="006C2544"/>
    <w:rsid w:val="00A51494"/>
    <w:rsid w:val="00A565D3"/>
    <w:rsid w:val="00D14CFA"/>
    <w:rsid w:val="00D63697"/>
    <w:rsid w:val="00E02572"/>
    <w:rsid w:val="00EC582E"/>
    <w:rsid w:val="336D6568"/>
    <w:rsid w:val="59EFDA76"/>
    <w:rsid w:val="5E0B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36CF7"/>
  <w15:docId w15:val="{7F5E145C-63EA-354C-86B1-203ABE63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2544"/>
    <w:pPr>
      <w:spacing w:line="240" w:lineRule="auto"/>
    </w:pPr>
    <w:rPr>
      <w:rFonts w:ascii="Times New Roman" w:hAnsi="Times New Roman" w:eastAsia="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eastAsia="Arial" w:cs="Arial"/>
      <w:color w:val="666666"/>
      <w:sz w:val="30"/>
      <w:szCs w:val="30"/>
    </w:rPr>
  </w:style>
  <w:style w:type="paragraph" w:styleId="Header">
    <w:name w:val="header"/>
    <w:basedOn w:val="Normal"/>
    <w:link w:val="HeaderChar"/>
    <w:uiPriority w:val="99"/>
    <w:unhideWhenUsed/>
    <w:rsid w:val="006C2544"/>
    <w:pPr>
      <w:tabs>
        <w:tab w:val="center" w:pos="4680"/>
        <w:tab w:val="right" w:pos="9360"/>
      </w:tabs>
    </w:pPr>
  </w:style>
  <w:style w:type="character" w:styleId="HeaderChar" w:customStyle="1">
    <w:name w:val="Header Char"/>
    <w:basedOn w:val="DefaultParagraphFont"/>
    <w:link w:val="Header"/>
    <w:uiPriority w:val="99"/>
    <w:rsid w:val="006C2544"/>
  </w:style>
  <w:style w:type="paragraph" w:styleId="Footer">
    <w:name w:val="footer"/>
    <w:basedOn w:val="Normal"/>
    <w:link w:val="FooterChar"/>
    <w:uiPriority w:val="99"/>
    <w:unhideWhenUsed/>
    <w:rsid w:val="006C2544"/>
    <w:pPr>
      <w:tabs>
        <w:tab w:val="center" w:pos="4680"/>
        <w:tab w:val="right" w:pos="9360"/>
      </w:tabs>
    </w:pPr>
  </w:style>
  <w:style w:type="character" w:styleId="FooterChar" w:customStyle="1">
    <w:name w:val="Footer Char"/>
    <w:basedOn w:val="DefaultParagraphFont"/>
    <w:link w:val="Footer"/>
    <w:uiPriority w:val="99"/>
    <w:rsid w:val="006C2544"/>
  </w:style>
  <w:style w:type="paragraph" w:styleId="ListParagraph">
    <w:name w:val="List Paragraph"/>
    <w:basedOn w:val="Normal"/>
    <w:uiPriority w:val="34"/>
    <w:qFormat/>
    <w:rsid w:val="006C2544"/>
    <w:pPr>
      <w:ind w:left="720"/>
      <w:contextualSpacing/>
    </w:pPr>
  </w:style>
  <w:style w:type="paragraph" w:styleId="NormalWeb">
    <w:name w:val="Normal (Web)"/>
    <w:basedOn w:val="Normal"/>
    <w:uiPriority w:val="99"/>
    <w:semiHidden/>
    <w:unhideWhenUsed/>
    <w:rsid w:val="006C2544"/>
    <w:pPr>
      <w:spacing w:before="100" w:beforeAutospacing="1" w:after="100" w:afterAutospacing="1"/>
    </w:pPr>
  </w:style>
  <w:style w:type="character" w:styleId="normaltextrun" w:customStyle="1">
    <w:name w:val="normaltextrun"/>
    <w:basedOn w:val="DefaultParagraphFont"/>
    <w:rsid w:val="006C2544"/>
  </w:style>
  <w:style w:type="character" w:styleId="textrun" w:customStyle="1">
    <w:name w:val="textrun"/>
    <w:basedOn w:val="DefaultParagraphFont"/>
    <w:rsid w:val="006C2544"/>
  </w:style>
  <w:style w:type="character" w:styleId="Hyperlink">
    <w:name w:val="Hyperlink"/>
    <w:basedOn w:val="DefaultParagraphFont"/>
    <w:uiPriority w:val="99"/>
    <w:unhideWhenUsed/>
    <w:rsid w:val="006C2544"/>
    <w:rPr>
      <w:color w:val="0000FF" w:themeColor="hyperlink"/>
      <w:u w:val="single"/>
    </w:rPr>
  </w:style>
  <w:style w:type="character" w:styleId="UnresolvedMention">
    <w:name w:val="Unresolved Mention"/>
    <w:basedOn w:val="DefaultParagraphFont"/>
    <w:uiPriority w:val="99"/>
    <w:semiHidden/>
    <w:unhideWhenUsed/>
    <w:rsid w:val="006C2544"/>
    <w:rPr>
      <w:color w:val="605E5C"/>
      <w:shd w:val="clear" w:color="auto" w:fill="E1DFDD"/>
    </w:rPr>
  </w:style>
  <w:style w:type="character" w:styleId="FollowedHyperlink">
    <w:name w:val="FollowedHyperlink"/>
    <w:basedOn w:val="DefaultParagraphFont"/>
    <w:uiPriority w:val="99"/>
    <w:semiHidden/>
    <w:unhideWhenUsed/>
    <w:rsid w:val="006C2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9732">
      <w:bodyDiv w:val="1"/>
      <w:marLeft w:val="0"/>
      <w:marRight w:val="0"/>
      <w:marTop w:val="0"/>
      <w:marBottom w:val="0"/>
      <w:divBdr>
        <w:top w:val="none" w:sz="0" w:space="0" w:color="auto"/>
        <w:left w:val="none" w:sz="0" w:space="0" w:color="auto"/>
        <w:bottom w:val="none" w:sz="0" w:space="0" w:color="auto"/>
        <w:right w:val="none" w:sz="0" w:space="0" w:color="auto"/>
      </w:divBdr>
    </w:div>
    <w:div w:id="183591680">
      <w:bodyDiv w:val="1"/>
      <w:marLeft w:val="0"/>
      <w:marRight w:val="0"/>
      <w:marTop w:val="0"/>
      <w:marBottom w:val="0"/>
      <w:divBdr>
        <w:top w:val="none" w:sz="0" w:space="0" w:color="auto"/>
        <w:left w:val="none" w:sz="0" w:space="0" w:color="auto"/>
        <w:bottom w:val="none" w:sz="0" w:space="0" w:color="auto"/>
        <w:right w:val="none" w:sz="0" w:space="0" w:color="auto"/>
      </w:divBdr>
    </w:div>
    <w:div w:id="323289550">
      <w:bodyDiv w:val="1"/>
      <w:marLeft w:val="0"/>
      <w:marRight w:val="0"/>
      <w:marTop w:val="0"/>
      <w:marBottom w:val="0"/>
      <w:divBdr>
        <w:top w:val="none" w:sz="0" w:space="0" w:color="auto"/>
        <w:left w:val="none" w:sz="0" w:space="0" w:color="auto"/>
        <w:bottom w:val="none" w:sz="0" w:space="0" w:color="auto"/>
        <w:right w:val="none" w:sz="0" w:space="0" w:color="auto"/>
      </w:divBdr>
    </w:div>
    <w:div w:id="641614239">
      <w:bodyDiv w:val="1"/>
      <w:marLeft w:val="0"/>
      <w:marRight w:val="0"/>
      <w:marTop w:val="0"/>
      <w:marBottom w:val="0"/>
      <w:divBdr>
        <w:top w:val="none" w:sz="0" w:space="0" w:color="auto"/>
        <w:left w:val="none" w:sz="0" w:space="0" w:color="auto"/>
        <w:bottom w:val="none" w:sz="0" w:space="0" w:color="auto"/>
        <w:right w:val="none" w:sz="0" w:space="0" w:color="auto"/>
      </w:divBdr>
    </w:div>
    <w:div w:id="980381452">
      <w:bodyDiv w:val="1"/>
      <w:marLeft w:val="0"/>
      <w:marRight w:val="0"/>
      <w:marTop w:val="0"/>
      <w:marBottom w:val="0"/>
      <w:divBdr>
        <w:top w:val="none" w:sz="0" w:space="0" w:color="auto"/>
        <w:left w:val="none" w:sz="0" w:space="0" w:color="auto"/>
        <w:bottom w:val="none" w:sz="0" w:space="0" w:color="auto"/>
        <w:right w:val="none" w:sz="0" w:space="0" w:color="auto"/>
      </w:divBdr>
    </w:div>
    <w:div w:id="1024748820">
      <w:bodyDiv w:val="1"/>
      <w:marLeft w:val="0"/>
      <w:marRight w:val="0"/>
      <w:marTop w:val="0"/>
      <w:marBottom w:val="0"/>
      <w:divBdr>
        <w:top w:val="none" w:sz="0" w:space="0" w:color="auto"/>
        <w:left w:val="none" w:sz="0" w:space="0" w:color="auto"/>
        <w:bottom w:val="none" w:sz="0" w:space="0" w:color="auto"/>
        <w:right w:val="none" w:sz="0" w:space="0" w:color="auto"/>
      </w:divBdr>
    </w:div>
    <w:div w:id="1239904129">
      <w:bodyDiv w:val="1"/>
      <w:marLeft w:val="0"/>
      <w:marRight w:val="0"/>
      <w:marTop w:val="0"/>
      <w:marBottom w:val="0"/>
      <w:divBdr>
        <w:top w:val="none" w:sz="0" w:space="0" w:color="auto"/>
        <w:left w:val="none" w:sz="0" w:space="0" w:color="auto"/>
        <w:bottom w:val="none" w:sz="0" w:space="0" w:color="auto"/>
        <w:right w:val="none" w:sz="0" w:space="0" w:color="auto"/>
      </w:divBdr>
    </w:div>
    <w:div w:id="1488548856">
      <w:bodyDiv w:val="1"/>
      <w:marLeft w:val="0"/>
      <w:marRight w:val="0"/>
      <w:marTop w:val="0"/>
      <w:marBottom w:val="0"/>
      <w:divBdr>
        <w:top w:val="none" w:sz="0" w:space="0" w:color="auto"/>
        <w:left w:val="none" w:sz="0" w:space="0" w:color="auto"/>
        <w:bottom w:val="none" w:sz="0" w:space="0" w:color="auto"/>
        <w:right w:val="none" w:sz="0" w:space="0" w:color="auto"/>
      </w:divBdr>
    </w:div>
    <w:div w:id="1678002247">
      <w:bodyDiv w:val="1"/>
      <w:marLeft w:val="0"/>
      <w:marRight w:val="0"/>
      <w:marTop w:val="0"/>
      <w:marBottom w:val="0"/>
      <w:divBdr>
        <w:top w:val="none" w:sz="0" w:space="0" w:color="auto"/>
        <w:left w:val="none" w:sz="0" w:space="0" w:color="auto"/>
        <w:bottom w:val="none" w:sz="0" w:space="0" w:color="auto"/>
        <w:right w:val="none" w:sz="0" w:space="0" w:color="auto"/>
      </w:divBdr>
    </w:div>
    <w:div w:id="2013877861">
      <w:bodyDiv w:val="1"/>
      <w:marLeft w:val="0"/>
      <w:marRight w:val="0"/>
      <w:marTop w:val="0"/>
      <w:marBottom w:val="0"/>
      <w:divBdr>
        <w:top w:val="none" w:sz="0" w:space="0" w:color="auto"/>
        <w:left w:val="none" w:sz="0" w:space="0" w:color="auto"/>
        <w:bottom w:val="none" w:sz="0" w:space="0" w:color="auto"/>
        <w:right w:val="none" w:sz="0" w:space="0" w:color="auto"/>
      </w:divBdr>
    </w:div>
    <w:div w:id="2062777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higheredinprison.org/publications/covid-19" TargetMode="External" Id="rId8" /><Relationship Type="http://schemas.openxmlformats.org/officeDocument/2006/relationships/hyperlink" Target="https://licensing.csg.org/wp-content/uploads/2019/04/criminalRecords_v06_web.pdf"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www.ncsl.org/civil-and-criminal-justice/reentry-legislation-2022-summary"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rand.org/pubs/research_reports/RR266.html"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cepr.net/images/stories/reports/employment-prisoners-felonies-2016-06.pdf"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articlegateway.com/index.php/JHETP/article/view/5324" TargetMode="External" Id="rId9" /><Relationship Type="http://schemas.openxmlformats.org/officeDocument/2006/relationships/hyperlink" Target="https://nebhe.org/wp-content/uploads/Commission-Orientation-Packet-2.pdf" TargetMode="External" Id="R1b43e249769d409f" /><Relationship Type="http://schemas.openxmlformats.org/officeDocument/2006/relationships/hyperlink" Target="https://bja.ojp.gov/sites/g/files/xyckuh186/files/Publications/CSG-Reentry-and-Employment.pdf" TargetMode="External" Id="Ra455bf37578144f1"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Rachael Conway</lastModifiedBy>
  <revision>10</revision>
  <dcterms:created xsi:type="dcterms:W3CDTF">2023-03-14T03:49:00.0000000Z</dcterms:created>
  <dcterms:modified xsi:type="dcterms:W3CDTF">2023-03-20T22:59:30.4208248Z</dcterms:modified>
</coreProperties>
</file>